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21" w:rsidRPr="00864712" w:rsidRDefault="001B0A6C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864712">
        <w:rPr>
          <w:rFonts w:ascii="Arial" w:hAnsi="Arial" w:cs="Arial"/>
          <w:lang w:val="cs-CZ" w:eastAsia="cs-CZ"/>
        </w:rPr>
        <w:pict>
          <v:group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<v:textbox inset="0,0,0,0">
                <w:txbxContent>
                  <w:p w:rsidR="006F6787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6787" w:rsidRPr="00A3051D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6F6787" w:rsidRPr="00A3051D" w:rsidRDefault="006F6787" w:rsidP="000C1121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6F6787" w:rsidRPr="000C5900" w:rsidRDefault="00265A74" w:rsidP="000C1121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0C5900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6F6787" w:rsidRPr="000C5900" w:rsidRDefault="00265A74" w:rsidP="000C1121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0C5900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v:group>
        </w:pict>
      </w:r>
    </w:p>
    <w:p w:rsidR="001F0AE3" w:rsidRPr="00864712" w:rsidRDefault="001F0AE3" w:rsidP="001F0AE3">
      <w:pPr>
        <w:spacing w:line="360" w:lineRule="auto"/>
        <w:ind w:right="702"/>
        <w:jc w:val="both"/>
        <w:outlineLvl w:val="0"/>
        <w:rPr>
          <w:rFonts w:ascii="Arial" w:eastAsia="Calibri" w:hAnsi="Arial" w:cs="Arial"/>
          <w:color w:val="222222"/>
          <w:u w:val="single"/>
          <w:lang w:val="cs-CZ"/>
        </w:rPr>
      </w:pPr>
      <w:bookmarkStart w:id="0" w:name="_Hlk507426425"/>
      <w:r w:rsidRPr="00864712">
        <w:rPr>
          <w:rFonts w:ascii="Arial" w:eastAsia="Calibri" w:hAnsi="Arial" w:cs="Arial"/>
          <w:color w:val="222222"/>
          <w:u w:val="single"/>
          <w:lang w:val="cs-CZ"/>
        </w:rPr>
        <w:t>Linde</w:t>
      </w:r>
      <w:r w:rsidR="00283132" w:rsidRPr="00864712">
        <w:rPr>
          <w:rFonts w:ascii="Arial" w:eastAsia="Calibri" w:hAnsi="Arial" w:cs="Arial"/>
          <w:color w:val="222222"/>
          <w:u w:val="single"/>
          <w:lang w:val="cs-CZ"/>
        </w:rPr>
        <w:t xml:space="preserve"> MH</w:t>
      </w:r>
      <w:r w:rsidRPr="00864712">
        <w:rPr>
          <w:rFonts w:ascii="Arial" w:eastAsia="Calibri" w:hAnsi="Arial" w:cs="Arial"/>
          <w:color w:val="222222"/>
          <w:u w:val="single"/>
          <w:lang w:val="cs-CZ"/>
        </w:rPr>
        <w:t xml:space="preserve"> představuje inovativní řešení pro </w:t>
      </w:r>
      <w:r w:rsidR="00283132" w:rsidRPr="00864712">
        <w:rPr>
          <w:rFonts w:ascii="Arial" w:eastAsia="Calibri" w:hAnsi="Arial" w:cs="Arial"/>
          <w:color w:val="222222"/>
          <w:u w:val="single"/>
          <w:lang w:val="cs-CZ"/>
        </w:rPr>
        <w:t>kompenzaci</w:t>
      </w:r>
      <w:r w:rsidRPr="00864712">
        <w:rPr>
          <w:rFonts w:ascii="Arial" w:eastAsia="Calibri" w:hAnsi="Arial" w:cs="Arial"/>
          <w:color w:val="222222"/>
          <w:u w:val="single"/>
          <w:lang w:val="cs-CZ"/>
        </w:rPr>
        <w:t xml:space="preserve"> nerovnost</w:t>
      </w:r>
      <w:r w:rsidR="00A5756A" w:rsidRPr="00864712">
        <w:rPr>
          <w:rFonts w:ascii="Arial" w:eastAsia="Calibri" w:hAnsi="Arial" w:cs="Arial"/>
          <w:color w:val="222222"/>
          <w:u w:val="single"/>
          <w:lang w:val="cs-CZ"/>
        </w:rPr>
        <w:t>í</w:t>
      </w:r>
      <w:r w:rsidRPr="00864712">
        <w:rPr>
          <w:rFonts w:ascii="Arial" w:eastAsia="Calibri" w:hAnsi="Arial" w:cs="Arial"/>
          <w:color w:val="222222"/>
          <w:u w:val="single"/>
          <w:lang w:val="cs-CZ"/>
        </w:rPr>
        <w:t xml:space="preserve"> podlahy skladové uličky</w:t>
      </w:r>
    </w:p>
    <w:p w:rsidR="001F0AE3" w:rsidRPr="00864712" w:rsidRDefault="001F0AE3" w:rsidP="001F0AE3">
      <w:pPr>
        <w:spacing w:line="360" w:lineRule="auto"/>
        <w:ind w:right="702"/>
        <w:outlineLvl w:val="0"/>
        <w:rPr>
          <w:rFonts w:ascii="Arial" w:eastAsia="Calibri" w:hAnsi="Arial" w:cs="Arial"/>
          <w:sz w:val="10"/>
          <w:szCs w:val="10"/>
          <w:u w:val="single"/>
          <w:lang w:val="cs-CZ"/>
        </w:rPr>
      </w:pPr>
    </w:p>
    <w:p w:rsidR="001F0AE3" w:rsidRPr="00864712" w:rsidRDefault="001F0AE3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sz w:val="28"/>
          <w:szCs w:val="28"/>
          <w:lang w:val="cs-CZ"/>
        </w:rPr>
      </w:pPr>
      <w:r w:rsidRPr="00864712">
        <w:rPr>
          <w:rFonts w:ascii="Arial" w:eastAsia="Calibri" w:hAnsi="Arial" w:cs="Arial"/>
          <w:b/>
          <w:color w:val="222222"/>
          <w:sz w:val="28"/>
          <w:lang w:val="cs-CZ"/>
        </w:rPr>
        <w:t xml:space="preserve">VNA vozíky nyní imunní proti </w:t>
      </w:r>
      <w:r w:rsidR="00D236F2" w:rsidRPr="00864712">
        <w:rPr>
          <w:rFonts w:ascii="Arial" w:eastAsia="Calibri" w:hAnsi="Arial" w:cs="Arial"/>
          <w:b/>
          <w:color w:val="222222"/>
          <w:sz w:val="28"/>
          <w:lang w:val="cs-CZ"/>
        </w:rPr>
        <w:t xml:space="preserve">nerovnostem </w:t>
      </w:r>
      <w:bookmarkStart w:id="1" w:name="_GoBack"/>
      <w:bookmarkEnd w:id="1"/>
      <w:r w:rsidRPr="00864712">
        <w:rPr>
          <w:rFonts w:ascii="Arial" w:eastAsia="Calibri" w:hAnsi="Arial" w:cs="Arial"/>
          <w:b/>
          <w:color w:val="222222"/>
          <w:sz w:val="28"/>
          <w:lang w:val="cs-CZ"/>
        </w:rPr>
        <w:t>díky systému aktivní kontroly stability ASC</w:t>
      </w:r>
    </w:p>
    <w:p w:rsidR="001F0AE3" w:rsidRPr="00864712" w:rsidRDefault="001F0AE3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sz w:val="10"/>
          <w:szCs w:val="10"/>
          <w:lang w:val="cs-CZ"/>
        </w:rPr>
      </w:pPr>
    </w:p>
    <w:p w:rsidR="001F0AE3" w:rsidRDefault="004800F3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color w:val="222222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Praha/</w:t>
      </w:r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Aschaffenburg, </w:t>
      </w:r>
      <w:r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3</w:t>
      </w:r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. květ</w:t>
      </w:r>
      <w:r w:rsidR="00283132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na</w:t>
      </w:r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, 2018</w:t>
      </w:r>
      <w:r w:rsidR="001F0AE3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– </w:t>
      </w:r>
      <w:r w:rsidR="009414A8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Společnost Linde Material Handling </w:t>
      </w:r>
      <w:r w:rsidR="00CB1B29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představila</w:t>
      </w:r>
      <w:r w:rsid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</w:t>
      </w:r>
      <w:r w:rsidR="0011641B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svoje </w:t>
      </w:r>
      <w:r w:rsidR="009414A8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p</w:t>
      </w:r>
      <w:r w:rsidR="001F0AE3" w:rsidRPr="00864712">
        <w:rPr>
          <w:rFonts w:ascii="Arial" w:eastAsia="Calibri" w:hAnsi="Arial" w:cs="Arial"/>
          <w:b/>
          <w:color w:val="222222"/>
          <w:sz w:val="22"/>
          <w:szCs w:val="22"/>
          <w:lang w:val="cs-CZ"/>
        </w:rPr>
        <w:t>růkopnické řešení pro VNA vozíky</w:t>
      </w:r>
      <w:r w:rsidR="008711DA" w:rsidRPr="00864712">
        <w:rPr>
          <w:rFonts w:ascii="Arial" w:eastAsia="Calibri" w:hAnsi="Arial" w:cs="Arial"/>
          <w:b/>
          <w:color w:val="222222"/>
          <w:sz w:val="22"/>
          <w:szCs w:val="22"/>
          <w:lang w:val="cs-CZ"/>
        </w:rPr>
        <w:t xml:space="preserve"> –</w:t>
      </w:r>
      <w:r w:rsidR="001F0AE3" w:rsidRPr="00864712">
        <w:rPr>
          <w:rFonts w:ascii="Arial" w:eastAsia="Calibri" w:hAnsi="Arial" w:cs="Arial"/>
          <w:b/>
          <w:color w:val="222222"/>
          <w:sz w:val="22"/>
          <w:szCs w:val="22"/>
          <w:lang w:val="cs-CZ"/>
        </w:rPr>
        <w:t xml:space="preserve"> vysoce aktivní</w:t>
      </w:r>
      <w:r w:rsidR="001F0AE3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asistenční systém Active Stability Control (ASC</w:t>
      </w:r>
      <w:r w:rsidR="00463FA9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)</w:t>
      </w:r>
      <w:r w:rsidR="008711DA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.</w:t>
      </w:r>
      <w:r w:rsidR="008711DA" w:rsidRPr="00864712">
        <w:rPr>
          <w:rFonts w:ascii="Arial" w:eastAsia="Calibri" w:hAnsi="Arial" w:cs="Arial"/>
          <w:b/>
          <w:sz w:val="22"/>
          <w:lang w:val="cs-CZ"/>
        </w:rPr>
        <w:t xml:space="preserve"> J</w:t>
      </w:r>
      <w:r w:rsidR="00463FA9" w:rsidRPr="00864712">
        <w:rPr>
          <w:rFonts w:ascii="Arial" w:eastAsia="Calibri" w:hAnsi="Arial" w:cs="Arial"/>
          <w:b/>
          <w:sz w:val="22"/>
          <w:lang w:val="cs-CZ"/>
        </w:rPr>
        <w:t>e</w:t>
      </w:r>
      <w:r w:rsidR="001F0AE3" w:rsidRPr="00864712">
        <w:rPr>
          <w:rFonts w:ascii="Arial" w:eastAsia="Calibri" w:hAnsi="Arial" w:cs="Arial"/>
          <w:b/>
          <w:sz w:val="22"/>
          <w:lang w:val="cs-CZ"/>
        </w:rPr>
        <w:t xml:space="preserve"> navržen tak, aby nerovnosti podlahy neovlivňovaly provoz</w:t>
      </w:r>
      <w:r w:rsidR="00CB1B29" w:rsidRPr="00864712">
        <w:rPr>
          <w:rFonts w:ascii="Arial" w:eastAsia="Calibri" w:hAnsi="Arial" w:cs="Arial"/>
          <w:b/>
          <w:sz w:val="22"/>
          <w:lang w:val="cs-CZ"/>
        </w:rPr>
        <w:t xml:space="preserve"> VNA vozíků</w:t>
      </w:r>
      <w:r w:rsidR="001F0AE3" w:rsidRPr="00864712">
        <w:rPr>
          <w:rFonts w:ascii="Arial" w:eastAsia="Calibri" w:hAnsi="Arial" w:cs="Arial"/>
          <w:color w:val="000000"/>
          <w:sz w:val="22"/>
          <w:szCs w:val="22"/>
          <w:lang w:val="cs-CZ"/>
        </w:rPr>
        <w:t xml:space="preserve">. </w:t>
      </w:r>
      <w:r w:rsidR="001F0AE3" w:rsidRPr="00864712">
        <w:rPr>
          <w:rFonts w:ascii="Arial" w:eastAsia="Calibri" w:hAnsi="Arial" w:cs="Arial"/>
          <w:b/>
          <w:color w:val="222222"/>
          <w:sz w:val="22"/>
          <w:szCs w:val="22"/>
          <w:lang w:val="cs-CZ"/>
        </w:rPr>
        <w:t>Tato inovativní technologie umožňuje rychlou a bezpečnou jízdu v úzkých skladových uličkách mezi vysokými regály a pro provozovatele to znamená</w:t>
      </w:r>
      <w:r w:rsidR="00BA6BFB" w:rsidRPr="00864712">
        <w:rPr>
          <w:rFonts w:ascii="Arial" w:eastAsia="Calibri" w:hAnsi="Arial" w:cs="Arial"/>
          <w:b/>
          <w:color w:val="222222"/>
          <w:sz w:val="22"/>
          <w:szCs w:val="22"/>
          <w:lang w:val="cs-CZ"/>
        </w:rPr>
        <w:t xml:space="preserve"> zásadní omezení nákladů na výstavbu a úpravy podlah pro nasazení VNA vozíků</w:t>
      </w:r>
      <w:r w:rsidR="005C7216" w:rsidRPr="00864712">
        <w:rPr>
          <w:rFonts w:ascii="Arial" w:eastAsia="Calibri" w:hAnsi="Arial" w:cs="Arial"/>
          <w:b/>
          <w:color w:val="222222"/>
          <w:sz w:val="22"/>
          <w:szCs w:val="22"/>
          <w:lang w:val="cs-CZ"/>
        </w:rPr>
        <w:t>.</w:t>
      </w:r>
    </w:p>
    <w:p w:rsidR="00864712" w:rsidRPr="00864712" w:rsidRDefault="00864712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sz w:val="16"/>
          <w:szCs w:val="16"/>
          <w:lang w:val="cs-CZ"/>
        </w:rPr>
      </w:pP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Kvalita povrchu podlahy hraje v intralogistice důležitou roli</w:t>
      </w:r>
      <w:r w:rsidR="00E84872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</w:t>
      </w:r>
      <w:r w:rsid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E84872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Z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ejména ve skladech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br/>
        <w:t>s vysokými regály a úzkými uličkami obsluhovanými VNA vozíky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s výškou zdvihu až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br/>
        <w:t>18 metrů, kde jsou minimální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vzdálenosti mezi vozíkem a regálem. Nerovnosti povrchu podlahy, dokonce i milimetrové, mohou způsobit nebezpečné rozkolísání vozíku.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:rsidR="001F0AE3" w:rsidRPr="00864712" w:rsidRDefault="001F0AE3" w:rsidP="00380A04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color w:val="222222"/>
          <w:sz w:val="22"/>
          <w:lang w:val="cs-CZ"/>
        </w:rPr>
        <w:t>Mnoho let to byl pro provozovatele VNA vozíků skutečný problém</w:t>
      </w:r>
      <w:r w:rsidR="008711DA" w:rsidRPr="00864712">
        <w:rPr>
          <w:rFonts w:ascii="Arial" w:eastAsia="Calibri" w:hAnsi="Arial" w:cs="Arial"/>
          <w:color w:val="222222"/>
          <w:sz w:val="22"/>
          <w:lang w:val="cs-CZ"/>
        </w:rPr>
        <w:t xml:space="preserve">.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Pokud podlaha neměla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potřebnou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kvalitu podle požadavků směrnice německého sdružení VDMA (</w:t>
      </w:r>
      <w:r w:rsidR="00380A04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Svaz německého strojírenského průmyslu)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>,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musela být vrchní plocha dokonale vyrovnána, aby se vytvořila bezpečná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jízdní trasa</w:t>
      </w:r>
      <w:r w:rsidR="00A5756A" w:rsidRPr="00864712">
        <w:rPr>
          <w:rFonts w:ascii="Arial" w:eastAsia="Calibri" w:hAnsi="Arial" w:cs="Arial"/>
          <w:sz w:val="22"/>
          <w:szCs w:val="22"/>
          <w:lang w:val="cs-CZ"/>
        </w:rPr>
        <w:t>.</w:t>
      </w:r>
      <w:r w:rsidR="00755A5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To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si často vyžádalo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investici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mnoha tisíc </w:t>
      </w:r>
      <w:r w:rsidR="00E84872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eur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 Pokud se podlaha vhodně neupravila,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>rychlost vozíku musela být z 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bezpečnostních důvodů </w:t>
      </w:r>
      <w:r w:rsidR="0013055E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omezena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, což vedlo ke snížení výkonu při manipulaci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>a 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bránilo zvýšení produktivity.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Nová technologie od Linde Material Handling je skutečnou revolucí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pro aplikace ve výškových skladech s úzkými uličkami. Systém ASC neustále monitoruje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povrch podlahy pomocí mechanických a elektronických senzorů. Pokud je v uličce detekována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nepravidelnost povrchu, kola vozíku na straně 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skladu ji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okamžitě vykompenzují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br/>
        <w:t xml:space="preserve">a zabrání, aby se vozík vychýlil do </w:t>
      </w:r>
      <w:r w:rsidR="0013055E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strany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 Díky tomu je trvale udržován v</w:t>
      </w:r>
      <w:r w:rsidR="008711D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 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bezpečné</w:t>
      </w:r>
      <w:r w:rsidR="00AE6755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br/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 stabilní pozici.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b/>
          <w:sz w:val="22"/>
          <w:szCs w:val="22"/>
          <w:lang w:val="cs-CZ"/>
        </w:rPr>
      </w:pPr>
      <w:r w:rsidRPr="00864712">
        <w:rPr>
          <w:rFonts w:ascii="Arial" w:eastAsia="Calibri" w:hAnsi="Arial" w:cs="Arial"/>
          <w:b/>
          <w:color w:val="222222"/>
          <w:sz w:val="22"/>
          <w:lang w:val="cs-CZ"/>
        </w:rPr>
        <w:lastRenderedPageBreak/>
        <w:t>Vysoká produktivita zaručena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Nový asistenční systém ASC nabízí zásadní výhodu</w:t>
      </w:r>
      <w:r w:rsidR="008711D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Umožňuje dosáhnout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br/>
        <w:t>v uličce maximální rychlost</w:t>
      </w:r>
      <w:r w:rsidR="00C8256B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i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14 km/h a </w:t>
      </w:r>
      <w:r w:rsidR="00C8256B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výšky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zdvih</w:t>
      </w:r>
      <w:r w:rsidR="00C8256B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u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až </w:t>
      </w:r>
      <w:r w:rsidR="00C8256B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do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18 metrů nejen na dokonale 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>hladkých podlahách dle standardů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VDMA. Nerovnost až do deseti milimetrů mezi levou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 pravou stopou pojezdu je kompenzována v rámci běžné bezpečnostní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mezery mezi vozíkem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 regálem. V praxi to znamená, že stačí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kvalita podlahy dle nižších požadavků normy DIN 18202 (tabulka 3, řádek 3), jelikož boční výchylka vozíku je ihned </w:t>
      </w:r>
      <w:r w:rsidR="00852CFE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vyrovnávána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 Řidič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VNA vozíku proto může jet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stále rychle a bezpečně.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:rsidR="001F0AE3" w:rsidRPr="00864712" w:rsidRDefault="00852CFE" w:rsidP="001F0AE3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sz w:val="22"/>
          <w:szCs w:val="22"/>
          <w:lang w:val="cs-CZ"/>
        </w:rPr>
        <w:t>„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Nová technologie je zvláště zajímavá pro ty zákazníky, kteří skladují v pronajatých halách a nemohou ovlivnit kvalitu podlahy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,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“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říká Anna Keilbach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,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Product Manager Very Narrow Aisle (VNA) z Linde Material Handling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, a do</w:t>
      </w:r>
      <w:r w:rsidR="00F93BC3" w:rsidRPr="00864712">
        <w:rPr>
          <w:rFonts w:ascii="Arial" w:eastAsia="Calibri" w:hAnsi="Arial" w:cs="Arial"/>
          <w:sz w:val="22"/>
          <w:szCs w:val="22"/>
          <w:lang w:val="cs-CZ"/>
        </w:rPr>
        <w:t>d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ává:</w:t>
      </w:r>
      <w:r w:rsidR="00755A5A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„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D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íky technologii ASC mohou nyní provozovatelé plně využí</w:t>
      </w:r>
      <w:r w:rsidR="0013055E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va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t vysoké produktivity systémových vozíků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Linde K-Modular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.“</w:t>
      </w:r>
      <w:r w:rsidR="00755A5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Nicméně,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i v případě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nově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budovaných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skladů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stojí za to vybavit K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-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vozíky systémem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ASC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.</w:t>
      </w:r>
      <w:r w:rsidR="00A35C12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Anna</w:t>
      </w:r>
      <w:r w:rsidR="00A35C12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Keilbach</w:t>
      </w:r>
      <w:r w:rsidR="00A35C12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vysvětluje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 xml:space="preserve">: 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„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Často ani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nově položené podlahy nevyhovují požadavkům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kvality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.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ystém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em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ASC je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3055E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u zákazníků používajících naše vozíky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tato komplikace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odstraněna.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“</w:t>
      </w:r>
      <w:r w:rsidR="00A35C12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Anna Keilbach dále zdůrazňuje, že d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ůležité je odborné poradenství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: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„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Naši specialisté na místě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z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analyzují situaci a doporučí zákazníkovi nejlepší řešení. Pro 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nasazení VNA vozíků často hrají k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líčovou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roli 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i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malé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detaily</w:t>
      </w:r>
      <w:r w:rsidR="001F0AE3" w:rsidRPr="00864712">
        <w:rPr>
          <w:rFonts w:ascii="Arial" w:eastAsia="Calibri" w:hAnsi="Arial" w:cs="Arial"/>
          <w:sz w:val="22"/>
          <w:szCs w:val="22"/>
          <w:lang w:val="cs-CZ"/>
        </w:rPr>
        <w:t>.</w:t>
      </w:r>
      <w:r w:rsidRPr="00864712">
        <w:rPr>
          <w:rFonts w:ascii="Arial" w:eastAsia="Calibri" w:hAnsi="Arial" w:cs="Arial"/>
          <w:sz w:val="22"/>
          <w:szCs w:val="22"/>
          <w:lang w:val="cs-CZ"/>
        </w:rPr>
        <w:t>“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Systémem ASC </w:t>
      </w:r>
      <w:r w:rsidR="00852CFE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doplnila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společnost Linde Material Handling své portfolio technických asistentů pro zajištění maximální stability. Když byla před šesti měsíci </w:t>
      </w:r>
      <w:r w:rsidR="001D1C3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uvedena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nová generace systémových vozíků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K-Modular, byl </w:t>
      </w:r>
      <w:r w:rsidR="001D1C3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současně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představen sy</w:t>
      </w:r>
      <w:r w:rsidR="00CF7C42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stém DRC (Dynamic Reach Control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), řešení, které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snižuje výchylku sloupu během n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askladňování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 vyskladňování palet. Zdvihový stožár zůstává stabilní, takže zboží může být precizně uloženo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i v maximální výšce zdvihu, aniž by řidič musel čekat, až se ustálí výkyv sloupu. 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Tím</w:t>
      </w:r>
      <w:r w:rsidR="001D1C3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dochází ke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zvýšení produktivity </w:t>
      </w:r>
      <w:r w:rsidR="001D1C3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o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proti standardní verzi vozíku bez tohoto systému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až o 20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%</w:t>
      </w:r>
      <w:r w:rsidR="001D1C33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</w:t>
      </w: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16"/>
          <w:szCs w:val="16"/>
          <w:lang w:val="cs-CZ"/>
        </w:rPr>
      </w:pPr>
    </w:p>
    <w:p w:rsidR="001F0AE3" w:rsidRPr="00864712" w:rsidRDefault="001F0AE3" w:rsidP="001F0AE3">
      <w:pPr>
        <w:spacing w:line="360" w:lineRule="auto"/>
        <w:ind w:right="561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Technologie ASC od Linde Material Handling bude představena na veletrhu World of Material Handling 2018, který se bude konat v německém Mannheimu od</w:t>
      </w:r>
      <w:r w:rsidR="00A35C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4. do 15. června</w:t>
      </w:r>
      <w:r w:rsidR="00A5756A"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2018</w:t>
      </w:r>
      <w:r w:rsidRPr="00864712">
        <w:rPr>
          <w:rFonts w:ascii="Arial" w:eastAsia="Calibri" w:hAnsi="Arial" w:cs="Arial"/>
          <w:color w:val="222222"/>
          <w:sz w:val="22"/>
          <w:szCs w:val="22"/>
          <w:lang w:val="cs-CZ"/>
        </w:rPr>
        <w:t>.</w:t>
      </w:r>
    </w:p>
    <w:bookmarkEnd w:id="0"/>
    <w:p w:rsidR="00A35C12" w:rsidRDefault="00A35C12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691795" w:rsidRPr="00864712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864712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 xml:space="preserve">Linde Material Handling GmbH </w:t>
      </w:r>
    </w:p>
    <w:p w:rsidR="00691795" w:rsidRPr="00864712" w:rsidRDefault="00691795" w:rsidP="00691795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:rsidR="00691795" w:rsidRPr="00864712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AD5EDC" w:rsidRPr="00864712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:rsidR="00E34B53" w:rsidRPr="00864712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Ing. Martin Petřík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tel.: +420 271 078 233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:rsidR="00E34B53" w:rsidRPr="00864712" w:rsidRDefault="001B0A6C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Pavlína Skřivánková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Account Executive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:rsidR="00876B0F" w:rsidRPr="00864712" w:rsidRDefault="001B0A6C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:rsidR="000A128A" w:rsidRPr="00864712" w:rsidRDefault="000A128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864712" w:rsidRPr="00864712" w:rsidRDefault="0086471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864712" w:rsidRPr="00864712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D9727C" w15:done="0"/>
  <w15:commentEx w15:paraId="5D09B3DF" w15:done="0"/>
  <w15:commentEx w15:paraId="58464E06" w15:done="0"/>
  <w15:commentEx w15:paraId="1C2C181F" w15:done="0"/>
  <w15:commentEx w15:paraId="62A60B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D9727C" w16cid:durableId="1E947329"/>
  <w16cid:commentId w16cid:paraId="5D09B3DF" w16cid:durableId="1E947383"/>
  <w16cid:commentId w16cid:paraId="58464E06" w16cid:durableId="1E9473D7"/>
  <w16cid:commentId w16cid:paraId="1C2C181F" w16cid:durableId="1E9472CF"/>
  <w16cid:commentId w16cid:paraId="62A60BDE" w16cid:durableId="1E94741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55" w:rsidRDefault="00E87555" w:rsidP="00FC1294">
      <w:r>
        <w:separator/>
      </w:r>
    </w:p>
  </w:endnote>
  <w:endnote w:type="continuationSeparator" w:id="1">
    <w:p w:rsidR="00E87555" w:rsidRDefault="00E87555" w:rsidP="00FC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FVectora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alibri"/>
    <w:charset w:val="00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55" w:rsidRDefault="00E87555" w:rsidP="00FC1294">
      <w:r>
        <w:separator/>
      </w:r>
    </w:p>
  </w:footnote>
  <w:footnote w:type="continuationSeparator" w:id="1">
    <w:p w:rsidR="00E87555" w:rsidRDefault="00E87555" w:rsidP="00FC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pStyle w:val="Zhlav"/>
    </w:pPr>
  </w:p>
  <w:p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>strana</w:t>
    </w:r>
    <w:r w:rsidR="001B0A6C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1B0A6C" w:rsidRPr="000C5900">
      <w:rPr>
        <w:rFonts w:ascii="LindeDaxOffice" w:hAnsi="LindeDaxOffice"/>
        <w:sz w:val="20"/>
        <w:szCs w:val="20"/>
      </w:rPr>
      <w:fldChar w:fldCharType="separate"/>
    </w:r>
    <w:r w:rsidR="00A35C12">
      <w:rPr>
        <w:rFonts w:ascii="LindeDaxOffice" w:hAnsi="LindeDaxOffice"/>
        <w:noProof/>
        <w:sz w:val="20"/>
        <w:szCs w:val="20"/>
      </w:rPr>
      <w:t>2</w:t>
    </w:r>
    <w:r w:rsidR="001B0A6C" w:rsidRPr="000C5900">
      <w:rPr>
        <w:rFonts w:ascii="LindeDaxOffice" w:hAnsi="LindeDaxOffice"/>
        <w:sz w:val="20"/>
        <w:szCs w:val="20"/>
      </w:rPr>
      <w:fldChar w:fldCharType="end"/>
    </w:r>
  </w:p>
  <w:p w:rsidR="000C5900" w:rsidRPr="000C5900" w:rsidRDefault="000C5900" w:rsidP="000C5900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ela Štefcová">
    <w15:presenceInfo w15:providerId="AD" w15:userId="S-1-12-1-1351472377-1087687871-3782059951-38823442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CA78BE"/>
    <w:rsid w:val="00000135"/>
    <w:rsid w:val="0000017E"/>
    <w:rsid w:val="00000410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128A"/>
    <w:rsid w:val="000A585A"/>
    <w:rsid w:val="000B43D4"/>
    <w:rsid w:val="000C1121"/>
    <w:rsid w:val="000C4A9D"/>
    <w:rsid w:val="000C5900"/>
    <w:rsid w:val="000C5E76"/>
    <w:rsid w:val="000C6028"/>
    <w:rsid w:val="000D7391"/>
    <w:rsid w:val="000F2AB1"/>
    <w:rsid w:val="000F5120"/>
    <w:rsid w:val="000F5903"/>
    <w:rsid w:val="00101657"/>
    <w:rsid w:val="001016BD"/>
    <w:rsid w:val="0011641B"/>
    <w:rsid w:val="00116C62"/>
    <w:rsid w:val="001177CA"/>
    <w:rsid w:val="001232E3"/>
    <w:rsid w:val="001244C1"/>
    <w:rsid w:val="001249A0"/>
    <w:rsid w:val="0013055E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777A"/>
    <w:rsid w:val="00187B60"/>
    <w:rsid w:val="001911F1"/>
    <w:rsid w:val="001A0782"/>
    <w:rsid w:val="001A4E0F"/>
    <w:rsid w:val="001B0A6C"/>
    <w:rsid w:val="001B7950"/>
    <w:rsid w:val="001D1C33"/>
    <w:rsid w:val="001E4587"/>
    <w:rsid w:val="001E45B7"/>
    <w:rsid w:val="001E4EC3"/>
    <w:rsid w:val="001E7B18"/>
    <w:rsid w:val="001F0AE3"/>
    <w:rsid w:val="00200580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56B27"/>
    <w:rsid w:val="00264D74"/>
    <w:rsid w:val="00265A74"/>
    <w:rsid w:val="002772CD"/>
    <w:rsid w:val="0027799A"/>
    <w:rsid w:val="00280511"/>
    <w:rsid w:val="00282373"/>
    <w:rsid w:val="00283132"/>
    <w:rsid w:val="002850BB"/>
    <w:rsid w:val="00285B3A"/>
    <w:rsid w:val="0029443A"/>
    <w:rsid w:val="00296772"/>
    <w:rsid w:val="002A1F93"/>
    <w:rsid w:val="002A4041"/>
    <w:rsid w:val="002A516C"/>
    <w:rsid w:val="002A7897"/>
    <w:rsid w:val="002B58CF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725B5"/>
    <w:rsid w:val="00380A04"/>
    <w:rsid w:val="0039056E"/>
    <w:rsid w:val="003A3E9F"/>
    <w:rsid w:val="003A4F1A"/>
    <w:rsid w:val="003B440B"/>
    <w:rsid w:val="003C2814"/>
    <w:rsid w:val="003C7C00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26037"/>
    <w:rsid w:val="0043052B"/>
    <w:rsid w:val="00435EAC"/>
    <w:rsid w:val="00443219"/>
    <w:rsid w:val="004574C2"/>
    <w:rsid w:val="00461A9B"/>
    <w:rsid w:val="00463FA9"/>
    <w:rsid w:val="004800F3"/>
    <w:rsid w:val="004837F1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20356"/>
    <w:rsid w:val="00523C97"/>
    <w:rsid w:val="005253CD"/>
    <w:rsid w:val="00526AE4"/>
    <w:rsid w:val="00530FA4"/>
    <w:rsid w:val="00534F89"/>
    <w:rsid w:val="0054086D"/>
    <w:rsid w:val="00553517"/>
    <w:rsid w:val="00555891"/>
    <w:rsid w:val="00560AE3"/>
    <w:rsid w:val="00565553"/>
    <w:rsid w:val="005659F3"/>
    <w:rsid w:val="005707A3"/>
    <w:rsid w:val="005729B4"/>
    <w:rsid w:val="00576193"/>
    <w:rsid w:val="005805A5"/>
    <w:rsid w:val="00581474"/>
    <w:rsid w:val="00582D90"/>
    <w:rsid w:val="00585499"/>
    <w:rsid w:val="005867A3"/>
    <w:rsid w:val="00596481"/>
    <w:rsid w:val="005A14B8"/>
    <w:rsid w:val="005B4151"/>
    <w:rsid w:val="005B5C85"/>
    <w:rsid w:val="005C0AFC"/>
    <w:rsid w:val="005C29BF"/>
    <w:rsid w:val="005C4A4F"/>
    <w:rsid w:val="005C5C55"/>
    <w:rsid w:val="005C7216"/>
    <w:rsid w:val="005D023C"/>
    <w:rsid w:val="005D674B"/>
    <w:rsid w:val="005D6CE1"/>
    <w:rsid w:val="00604CB3"/>
    <w:rsid w:val="0060758C"/>
    <w:rsid w:val="006166CD"/>
    <w:rsid w:val="00621AAF"/>
    <w:rsid w:val="00624949"/>
    <w:rsid w:val="006332F8"/>
    <w:rsid w:val="006356CA"/>
    <w:rsid w:val="00651C89"/>
    <w:rsid w:val="00665149"/>
    <w:rsid w:val="0066563C"/>
    <w:rsid w:val="00670EA8"/>
    <w:rsid w:val="006737AB"/>
    <w:rsid w:val="006816D1"/>
    <w:rsid w:val="00691795"/>
    <w:rsid w:val="006A0627"/>
    <w:rsid w:val="006A419E"/>
    <w:rsid w:val="006A508E"/>
    <w:rsid w:val="006B1D25"/>
    <w:rsid w:val="006B3A14"/>
    <w:rsid w:val="006B4C05"/>
    <w:rsid w:val="006B6E13"/>
    <w:rsid w:val="006C4091"/>
    <w:rsid w:val="006E3B07"/>
    <w:rsid w:val="006E6CD7"/>
    <w:rsid w:val="006E7FE6"/>
    <w:rsid w:val="006F02C7"/>
    <w:rsid w:val="006F1D16"/>
    <w:rsid w:val="006F5209"/>
    <w:rsid w:val="006F65DE"/>
    <w:rsid w:val="006F6787"/>
    <w:rsid w:val="00701926"/>
    <w:rsid w:val="007035B7"/>
    <w:rsid w:val="007058D4"/>
    <w:rsid w:val="007063BF"/>
    <w:rsid w:val="007073D7"/>
    <w:rsid w:val="00710B0D"/>
    <w:rsid w:val="0072485C"/>
    <w:rsid w:val="007273DC"/>
    <w:rsid w:val="00737021"/>
    <w:rsid w:val="007408FE"/>
    <w:rsid w:val="00755A5A"/>
    <w:rsid w:val="00762AE1"/>
    <w:rsid w:val="00765ABA"/>
    <w:rsid w:val="00774A2D"/>
    <w:rsid w:val="007847A9"/>
    <w:rsid w:val="00796143"/>
    <w:rsid w:val="007A4067"/>
    <w:rsid w:val="007B0242"/>
    <w:rsid w:val="007B65C7"/>
    <w:rsid w:val="007B73F2"/>
    <w:rsid w:val="007C63D1"/>
    <w:rsid w:val="007F3965"/>
    <w:rsid w:val="007F5472"/>
    <w:rsid w:val="007F6618"/>
    <w:rsid w:val="008032CF"/>
    <w:rsid w:val="008035DF"/>
    <w:rsid w:val="0080369C"/>
    <w:rsid w:val="00813AF9"/>
    <w:rsid w:val="008155C0"/>
    <w:rsid w:val="00820F30"/>
    <w:rsid w:val="00822F68"/>
    <w:rsid w:val="008232E6"/>
    <w:rsid w:val="008248BA"/>
    <w:rsid w:val="00832731"/>
    <w:rsid w:val="00832A47"/>
    <w:rsid w:val="008451D2"/>
    <w:rsid w:val="0085072B"/>
    <w:rsid w:val="008521E1"/>
    <w:rsid w:val="00852CFE"/>
    <w:rsid w:val="008638C9"/>
    <w:rsid w:val="00864712"/>
    <w:rsid w:val="008711DA"/>
    <w:rsid w:val="00873F5F"/>
    <w:rsid w:val="00876B0F"/>
    <w:rsid w:val="00892DF6"/>
    <w:rsid w:val="008A286A"/>
    <w:rsid w:val="008B00FB"/>
    <w:rsid w:val="008B5DE9"/>
    <w:rsid w:val="008B7EAB"/>
    <w:rsid w:val="008C114C"/>
    <w:rsid w:val="008C2801"/>
    <w:rsid w:val="008C2B3A"/>
    <w:rsid w:val="008C67EF"/>
    <w:rsid w:val="008D4010"/>
    <w:rsid w:val="008E26CF"/>
    <w:rsid w:val="008E6D9A"/>
    <w:rsid w:val="008F453E"/>
    <w:rsid w:val="008F7448"/>
    <w:rsid w:val="009057A3"/>
    <w:rsid w:val="0090597C"/>
    <w:rsid w:val="00905F2D"/>
    <w:rsid w:val="009079D8"/>
    <w:rsid w:val="0091641F"/>
    <w:rsid w:val="00924DB3"/>
    <w:rsid w:val="00927C7E"/>
    <w:rsid w:val="00927CCA"/>
    <w:rsid w:val="009325F7"/>
    <w:rsid w:val="009331CC"/>
    <w:rsid w:val="00936E99"/>
    <w:rsid w:val="00941072"/>
    <w:rsid w:val="009414A8"/>
    <w:rsid w:val="00947903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6E22"/>
    <w:rsid w:val="00A069CF"/>
    <w:rsid w:val="00A1119A"/>
    <w:rsid w:val="00A25EE7"/>
    <w:rsid w:val="00A268E2"/>
    <w:rsid w:val="00A35C12"/>
    <w:rsid w:val="00A44510"/>
    <w:rsid w:val="00A5756A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E6755"/>
    <w:rsid w:val="00AF121A"/>
    <w:rsid w:val="00B04A72"/>
    <w:rsid w:val="00B068C2"/>
    <w:rsid w:val="00B1151E"/>
    <w:rsid w:val="00B12484"/>
    <w:rsid w:val="00B13A1C"/>
    <w:rsid w:val="00B168D5"/>
    <w:rsid w:val="00B277E8"/>
    <w:rsid w:val="00B3208A"/>
    <w:rsid w:val="00B342F1"/>
    <w:rsid w:val="00B35885"/>
    <w:rsid w:val="00B361CB"/>
    <w:rsid w:val="00B370E3"/>
    <w:rsid w:val="00B625DB"/>
    <w:rsid w:val="00B6404F"/>
    <w:rsid w:val="00B67D75"/>
    <w:rsid w:val="00B90E00"/>
    <w:rsid w:val="00B90FE0"/>
    <w:rsid w:val="00B92EDA"/>
    <w:rsid w:val="00BA6BFB"/>
    <w:rsid w:val="00BA77B8"/>
    <w:rsid w:val="00BB1C47"/>
    <w:rsid w:val="00BB4B4B"/>
    <w:rsid w:val="00BE07F0"/>
    <w:rsid w:val="00BE1147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8256B"/>
    <w:rsid w:val="00CA209A"/>
    <w:rsid w:val="00CA7482"/>
    <w:rsid w:val="00CA78BE"/>
    <w:rsid w:val="00CB1B29"/>
    <w:rsid w:val="00CB2BC0"/>
    <w:rsid w:val="00CB60C3"/>
    <w:rsid w:val="00CB67FF"/>
    <w:rsid w:val="00CB7048"/>
    <w:rsid w:val="00CC08FF"/>
    <w:rsid w:val="00CC4301"/>
    <w:rsid w:val="00CC7353"/>
    <w:rsid w:val="00CD5177"/>
    <w:rsid w:val="00CD7442"/>
    <w:rsid w:val="00CE1F0E"/>
    <w:rsid w:val="00CE3AB6"/>
    <w:rsid w:val="00CF7C42"/>
    <w:rsid w:val="00D018EA"/>
    <w:rsid w:val="00D13062"/>
    <w:rsid w:val="00D158C2"/>
    <w:rsid w:val="00D15940"/>
    <w:rsid w:val="00D20C8D"/>
    <w:rsid w:val="00D22192"/>
    <w:rsid w:val="00D236F2"/>
    <w:rsid w:val="00D2370C"/>
    <w:rsid w:val="00D24F22"/>
    <w:rsid w:val="00D34F20"/>
    <w:rsid w:val="00D40083"/>
    <w:rsid w:val="00D5159A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2919"/>
    <w:rsid w:val="00DB739B"/>
    <w:rsid w:val="00DC0A17"/>
    <w:rsid w:val="00DD60B3"/>
    <w:rsid w:val="00DD648D"/>
    <w:rsid w:val="00DD649A"/>
    <w:rsid w:val="00DF23A2"/>
    <w:rsid w:val="00DF6C9F"/>
    <w:rsid w:val="00E07B4D"/>
    <w:rsid w:val="00E15512"/>
    <w:rsid w:val="00E200F3"/>
    <w:rsid w:val="00E34B53"/>
    <w:rsid w:val="00E3633C"/>
    <w:rsid w:val="00E3777B"/>
    <w:rsid w:val="00E54709"/>
    <w:rsid w:val="00E605C2"/>
    <w:rsid w:val="00E64612"/>
    <w:rsid w:val="00E70716"/>
    <w:rsid w:val="00E70FE7"/>
    <w:rsid w:val="00E72150"/>
    <w:rsid w:val="00E727AA"/>
    <w:rsid w:val="00E83407"/>
    <w:rsid w:val="00E8441D"/>
    <w:rsid w:val="00E84872"/>
    <w:rsid w:val="00E87555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C81"/>
    <w:rsid w:val="00F43C25"/>
    <w:rsid w:val="00F5347F"/>
    <w:rsid w:val="00F76C38"/>
    <w:rsid w:val="00F82E96"/>
    <w:rsid w:val="00F8432C"/>
    <w:rsid w:val="00F93BC3"/>
    <w:rsid w:val="00F950B1"/>
    <w:rsid w:val="00FA1B8C"/>
    <w:rsid w:val="00FA2142"/>
    <w:rsid w:val="00FA607E"/>
    <w:rsid w:val="00FB3BD6"/>
    <w:rsid w:val="00FC1294"/>
    <w:rsid w:val="00FE0E2A"/>
    <w:rsid w:val="00FE10E2"/>
    <w:rsid w:val="00FE749D"/>
    <w:rsid w:val="00FE79FB"/>
    <w:rsid w:val="00FF096C"/>
    <w:rsid w:val="00FF5F8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paragraph" w:customStyle="1" w:styleId="Fliesstext">
    <w:name w:val="Fliesstext"/>
    <w:basedOn w:val="Normln"/>
    <w:rsid w:val="00256B27"/>
    <w:pPr>
      <w:widowControl w:val="0"/>
      <w:tabs>
        <w:tab w:val="left" w:pos="1985"/>
      </w:tabs>
      <w:autoSpaceDE w:val="0"/>
      <w:autoSpaceDN w:val="0"/>
      <w:adjustRightInd w:val="0"/>
      <w:spacing w:line="280" w:lineRule="exact"/>
    </w:pPr>
    <w:rPr>
      <w:rFonts w:ascii="LuFVectora-Light" w:eastAsia="Times New Roman" w:hAnsi="LuFVectora-Ligh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1503-23D9-4C27-BE20-1AC6AE07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800</Words>
  <Characters>4720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2</cp:revision>
  <cp:lastPrinted>2018-02-14T15:55:00Z</cp:lastPrinted>
  <dcterms:created xsi:type="dcterms:W3CDTF">2018-05-03T11:09:00Z</dcterms:created>
  <dcterms:modified xsi:type="dcterms:W3CDTF">2018-05-03T11:09:00Z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